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D20A82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20A8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Русское Рождество Шуя и Палех 2 дня</w:t>
      </w:r>
      <w:r w:rsidRPr="001044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D20A8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 ночь</w:t>
      </w:r>
    </w:p>
    <w:p w:rsidR="00D20A82" w:rsidRDefault="00D20A82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1044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Владимир </w:t>
      </w:r>
      <w:r w:rsidR="001044D9" w:rsidRPr="00CD160E">
        <w:rPr>
          <w:rFonts w:ascii="Arial" w:hAnsi="Arial" w:cs="Arial"/>
          <w:b/>
          <w:sz w:val="24"/>
          <w:szCs w:val="24"/>
        </w:rPr>
        <w:t>–</w:t>
      </w:r>
      <w:r w:rsidR="001044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Шуя </w:t>
      </w:r>
      <w:r w:rsidR="001044D9" w:rsidRPr="00CD160E">
        <w:rPr>
          <w:rFonts w:ascii="Arial" w:hAnsi="Arial" w:cs="Arial"/>
          <w:b/>
          <w:sz w:val="24"/>
          <w:szCs w:val="24"/>
        </w:rPr>
        <w:t>–</w:t>
      </w:r>
      <w:r w:rsidR="001044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Иваново </w:t>
      </w:r>
      <w:r w:rsidR="001044D9" w:rsidRPr="00CD160E">
        <w:rPr>
          <w:rFonts w:ascii="Arial" w:hAnsi="Arial" w:cs="Arial"/>
          <w:b/>
          <w:sz w:val="24"/>
          <w:szCs w:val="24"/>
        </w:rPr>
        <w:t>–</w:t>
      </w:r>
      <w:r w:rsidR="001044D9" w:rsidRPr="001044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Палех</w:t>
      </w:r>
      <w:r w:rsidR="001044D9" w:rsidRPr="001044D9">
        <w:rPr>
          <w:rFonts w:ascii="Arial" w:hAnsi="Arial" w:cs="Arial"/>
          <w:shd w:val="clear" w:color="auto" w:fill="FFFFFF"/>
        </w:rPr>
        <w:t xml:space="preserve"> </w:t>
      </w:r>
      <w:r w:rsidRPr="00CD160E">
        <w:rPr>
          <w:rFonts w:ascii="Arial" w:hAnsi="Arial" w:cs="Arial"/>
          <w:b/>
          <w:sz w:val="24"/>
          <w:szCs w:val="24"/>
        </w:rPr>
        <w:t>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044D9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05.01.26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1044D9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07:00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07:15</w:t>
            </w:r>
            <w:r w:rsidR="00D8693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Владимир.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Путевая экскурсия по Владимиру, 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древней столице Северо-Восточной Руси, где сохранились достопримечательности 12 века: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Золотые ворота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(внешний осмотр, на реставрации) - символ величия и мощи Древней Руси.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Дмитриевский собор 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(внешний осмотр) - памятник Владимиро-Суздальской архитектуры </w:t>
            </w:r>
            <w:proofErr w:type="spellStart"/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домонгольского</w:t>
            </w:r>
            <w:proofErr w:type="spellEnd"/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периода.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собор 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(внешний осмотр) – шедевр белокаменного зодчества.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 г. Шую.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8693B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Шуя.</w:t>
            </w: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Особняк М.А. Павлова 19 века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(внешний осмотр), отстроенный по проекту «домашнего» архитектора знаменитого коллекционера П. Третьякова.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Торговые ряды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– «сердце» города и уникальный памятник «важня» - исторические весы швейцарского архитектора. Сохранившаяся </w:t>
            </w:r>
            <w:proofErr w:type="spellStart"/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шуйская</w:t>
            </w:r>
            <w:proofErr w:type="spellEnd"/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важня - одна на всю центральную Россию.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Купеческая застройка 18-19 вв.: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усадьбы купцов </w:t>
            </w:r>
            <w:proofErr w:type="spellStart"/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Посылиных</w:t>
            </w:r>
            <w:proofErr w:type="spellEnd"/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Жуковых, </w:t>
            </w:r>
            <w:proofErr w:type="spellStart"/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Небурчиловых</w:t>
            </w:r>
            <w:proofErr w:type="spellEnd"/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Щеколдиных.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Воскресенский собор и его знаменитая колокольня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визитная карточка города, является одна из самых высоких колоколен России - 106,4 м и многое другое.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Свободное время на площадках фестиваля «Русское Рождество», призванного возрождать старинные русские традиции.  Здесь напоминают: много столетий Рождество считалось главным зимним праздником страны.</w:t>
            </w:r>
          </w:p>
          <w:p w:rsidR="00D8693B" w:rsidRPr="00D8693B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Переезд </w:t>
            </w:r>
            <w:r w:rsidRPr="00D86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 хлебосольную деревню </w:t>
            </w:r>
            <w:proofErr w:type="spellStart"/>
            <w:r w:rsidRPr="00D86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Понькино</w:t>
            </w:r>
            <w:proofErr w:type="spellEnd"/>
            <w:r w:rsidRPr="00D86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:rsidR="00D8693B" w:rsidRPr="00D8693B" w:rsidRDefault="00D8693B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8693B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Увлекательная интерактивная программа «Рождество в деревне» </w:t>
            </w: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с застольными песнями, плясками под русскую гармонь.</w:t>
            </w:r>
          </w:p>
          <w:p w:rsidR="00D8693B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br/>
              <w:t>Вспоминая народные традиции, наденете русские ситцевые сарафаны и мужские рубашки и перенесётесь в праздничный колорит праздника.</w:t>
            </w:r>
          </w:p>
          <w:p w:rsidR="00D8693B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Под звонкую Шуйскую гармонь запоете застольные песни.</w:t>
            </w:r>
          </w:p>
          <w:p w:rsidR="001044D9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br/>
              <w:t>Вспомните народный фольклор – частушки. И, конечно, немножко погадаете на любовь, на удачу, на достаток в доме. Будет весело!</w:t>
            </w:r>
          </w:p>
          <w:p w:rsidR="00D8693B" w:rsidRPr="00D8693B" w:rsidRDefault="00D8693B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8693B" w:rsidRDefault="001044D9" w:rsidP="00D8693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Поздний обед деревенский в настоящей русской избе.</w:t>
            </w:r>
          </w:p>
          <w:p w:rsidR="001044D9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Щи зелёные со </w:t>
            </w:r>
            <w:proofErr w:type="spellStart"/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свининкой</w:t>
            </w:r>
            <w:proofErr w:type="spellEnd"/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 xml:space="preserve">, да разносолы русские: огурчики хрустящие, капустка квашеная, </w:t>
            </w:r>
            <w:proofErr w:type="spellStart"/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помидорки</w:t>
            </w:r>
            <w:proofErr w:type="spellEnd"/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 xml:space="preserve"> ядрёные. Домашние закуски из погребка. А сало деревенское с хренком с рассыпчатой картошечкой. Домашние </w:t>
            </w:r>
            <w:proofErr w:type="spellStart"/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бараночки</w:t>
            </w:r>
            <w:proofErr w:type="spellEnd"/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конечно ягодный морс, из самовара чаек, да деревенский первачок!</w:t>
            </w:r>
          </w:p>
          <w:p w:rsidR="00D8693B" w:rsidRPr="00D8693B" w:rsidRDefault="00D8693B" w:rsidP="00D8693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D86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Иваново.</w:t>
            </w:r>
          </w:p>
          <w:p w:rsidR="00D8693B" w:rsidRPr="00D8693B" w:rsidRDefault="00D8693B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D8693B" w:rsidRPr="00D8693B" w:rsidRDefault="00D8693B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44D9" w:rsidRPr="00D8693B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1044D9" w:rsidRDefault="001044D9" w:rsidP="00D8693B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«Вознесенская 2*»</w:t>
            </w: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, г. Иваново </w:t>
            </w:r>
            <w:r w:rsidRPr="00D8693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D8693B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С372024003664</w:t>
              </w:r>
            </w:hyperlink>
            <w:r w:rsidRPr="00D8693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D8693B" w:rsidRPr="00D8693B" w:rsidRDefault="00D8693B" w:rsidP="00D8693B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44D9" w:rsidRPr="00D8693B" w:rsidRDefault="001044D9" w:rsidP="00D8693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Ужин.</w:t>
            </w:r>
          </w:p>
          <w:p w:rsidR="00DC3F08" w:rsidRPr="00D25172" w:rsidRDefault="00DC3F08" w:rsidP="00104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D869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044D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06</w:t>
            </w:r>
            <w:r w:rsidR="001146CC">
              <w:rPr>
                <w:rFonts w:ascii="Arial" w:hAnsi="Arial" w:cs="Arial"/>
                <w:b/>
                <w:sz w:val="18"/>
                <w:szCs w:val="18"/>
                <w:lang w:val="en-US"/>
              </w:rPr>
              <w:t>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07:00</w:t>
            </w:r>
            <w:r w:rsidR="00D8693B" w:rsidRPr="00D8693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D8693B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Иваново.</w:t>
            </w: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«Русский Манчестер», город ситцевых королей, задававших моду отечественного текстиля, родина первого совета, образцовый социалистический город, рай для любителей «конструктивизма». Все это – Иваново.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Железнодорожный вокзал в стиле «конструктивизм»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1933 г., один из символов Иваново,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Революции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— центральная площадь города, на которой находится огромный монумент в память о революционных событиях 1905 года.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Памятник Якову Петровичу Гарелину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(1820—1890) – одному из отцов-основателей города, фабриканту и меценату.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Постройки советского конструктивизма, 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Москвы и Санкт-Петербурга в Иваново в России их больше всего.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proofErr w:type="spellStart"/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Щудровская</w:t>
            </w:r>
            <w:proofErr w:type="spellEnd"/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палатка,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самое древнее каменное здание Иваново, XVII век.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 г. Палех.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Палех -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родина Жар-птицы,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город - яркий образец русской провинции, в котором проживает около пяти тысяч жителей, каждый восьмой из которых – художник или иконописец.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Палехская миниатюра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известна на весь мир, но ей всего около ста лет. Народный промысел сформировался из древнего иконописного искусства, адаптированного под советскую власть.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Знакомство с народным промыслом включает посещение трех музеев: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Музей иконы, Дом-музей И.И.Голикова, Музей лаковой миниатюры.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завершении программы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мастер-класс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каждый сможет попробовать себя в роли художника-создателя традиционной лаковой миниатюры.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Default="001044D9" w:rsidP="00D8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 г. Москву.</w:t>
            </w:r>
          </w:p>
          <w:p w:rsidR="00D8693B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044D9" w:rsidRPr="001044D9" w:rsidRDefault="00D8693B" w:rsidP="00D869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23:00 </w:t>
            </w:r>
            <w:r w:rsidR="001044D9" w:rsidRPr="001044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="001044D9" w:rsidRPr="001044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 г. Москву (ст. метро «ВДНХ»).</w:t>
            </w:r>
          </w:p>
          <w:p w:rsidR="00336D7D" w:rsidRPr="00336D7D" w:rsidRDefault="00336D7D" w:rsidP="001044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130D0" w:rsidRPr="00D8693B" w:rsidRDefault="00D8693B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69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Выбор места в автобусе – </w:t>
            </w:r>
            <w:r w:rsidRPr="00D86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 руб.</w:t>
            </w:r>
          </w:p>
          <w:p w:rsidR="00D8693B" w:rsidRDefault="00D8693B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D8693B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lastRenderedPageBreak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8693B" w:rsidRDefault="00D8693B" w:rsidP="00D8693B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2</w:t>
            </w:r>
            <w:r w:rsidR="00CD160E" w:rsidRPr="004130D0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Pr="00D8693B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«Вознесенская 2*»</w:t>
            </w:r>
            <w:r w:rsidRPr="00D8693B">
              <w:rPr>
                <w:rFonts w:ascii="Arial" w:hAnsi="Arial" w:cs="Arial"/>
                <w:color w:val="000000"/>
                <w:sz w:val="18"/>
                <w:szCs w:val="18"/>
              </w:rPr>
              <w:t>, г. Иваново </w:t>
            </w:r>
            <w:r w:rsidRPr="00D8693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Pr="00D8693B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С372024003664</w:t>
              </w:r>
            </w:hyperlink>
            <w:r w:rsidRPr="00D8693B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044D9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7518E"/>
    <w:rsid w:val="00752C77"/>
    <w:rsid w:val="00760790"/>
    <w:rsid w:val="008718B7"/>
    <w:rsid w:val="008E2CED"/>
    <w:rsid w:val="009F478C"/>
    <w:rsid w:val="00A5791A"/>
    <w:rsid w:val="00C63D3B"/>
    <w:rsid w:val="00C8417E"/>
    <w:rsid w:val="00CD160E"/>
    <w:rsid w:val="00D20A82"/>
    <w:rsid w:val="00D219F8"/>
    <w:rsid w:val="00D25172"/>
    <w:rsid w:val="00D466EC"/>
    <w:rsid w:val="00D8693B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924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9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06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68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6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7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7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2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6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1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4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906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98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2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8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0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1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345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2b1ca4be-c608-11ef-92da-bb669759ad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2b1ca4be-c608-11ef-92da-bb669759ad12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16</cp:revision>
  <dcterms:created xsi:type="dcterms:W3CDTF">2024-04-09T12:54:00Z</dcterms:created>
  <dcterms:modified xsi:type="dcterms:W3CDTF">2025-10-26T15:11:00Z</dcterms:modified>
</cp:coreProperties>
</file>